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Kantor internetowy w modelu white label rozwiązaniem przyszłości dla banków i…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kantory internetowe na polskim rynku były pomyślane jako konkurencja dla banków. W odpowiedzi na wątpliwości dotyczące bezpieczeństwa transakcji powstał kantor z sektora bankowego, do korzystania z którego nie trzeba zakładać rachunku. To rozwiązanie w modelu white label wdrożył już kolejny bank – czy mamy do czynienia z nowym etapem rozwoju rynku?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w modelu white label oznacza, że nabywca takiego rozwiązania otrzymuje cały panel klienta z wszystkimi funkcjonalnościami dostępnymi w kantorze. Panel jest utrzymany w kolorach brandowych nabywcy, znajduje się tam też jego logo. Takie rozwiązanie oferuje Raiffeisen Solutions Sp. z o.o., (spółka-córka Raiffeisen Polbank) prowadząca Rkantor.com. To pierwszy na polskim rynku kantor internetowy z sektora bankowego, do korzystania z którego nie trzeba zakładać rachunku w żadnym banku. Został udostępniony dla klientów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kryteria musi spełniać kantor internetowy white label dla banku?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 dziedziny bezpieczeństwa.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dostarczany przez Raiffeisen Solutions Sp. z o.o. ma status Krajowej Instytucji Płatniczej, co oznacza, że jest nadzorowany przez Komisję Nadzoru Finansowego – organ rządowy. Dzięki temu podlega też Ustawie o usługach płatniczych, co oznacza, że zgodnie z polskim prawem można za jego pośrednictwem zlecać przelewy krajowe i zagraniczne. Bardzo ważna jest też infrastruktura informatyczna – poziom zabezpieczeń transakcji w kantorze od Raiffeisen Solutions (Rkantor.com) jest na poziomie bankowym. Jest on też łatwy w integracji z istniejącymi na rynku systemami bankowymi.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spełnione zostały kryteria bezpieczeństwa, kolejne to dostępność. Aby korzystać z kantoru internetowego Raiffeisen Solutions nie trzeba zakładać konta w żadnym banku – klient otrzymuje darmowy dostęp do 19 kont walutowych w Portfelu Walutowym. Może też swobodnie zlecać przelewy – złotówkowe są darmowe, klient nie płaci też za błyskawiczne, księgowane nawet w 10 minut przelewy walutowe do 15 polskich banków. W ofercie jest wymiana walut w kantorze (natychmiastowa i z odroczoną wpłatą) oraz na giełdzie społecznościowej, gdzie użytkownicy sami ustalają kursy wymiany. Mogą też korzystać z przelewów zagranicznych i wypłaty gotówki z bankomatu bez karty. To gotowe, nowoczesne rozwiązanie z branży fin-tech.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korzysta z kantoru internetowego w modelu white label?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była instytucja pozabankowa, jednak z dużą renomą na polskim rynku – </w:t>
      </w:r>
      <w:r>
        <w:rPr>
          <w:rFonts w:ascii="calibri" w:hAnsi="calibri" w:eastAsia="calibri" w:cs="calibri"/>
          <w:sz w:val="24"/>
          <w:szCs w:val="24"/>
          <w:b/>
        </w:rPr>
        <w:t xml:space="preserve">Poczta Polska</w:t>
      </w:r>
      <w:r>
        <w:rPr>
          <w:rFonts w:ascii="calibri" w:hAnsi="calibri" w:eastAsia="calibri" w:cs="calibri"/>
          <w:sz w:val="24"/>
          <w:szCs w:val="24"/>
        </w:rPr>
        <w:t xml:space="preserve">. Jak się okazuje, rozwiązania z dziedziny fin-tech chętnie wdrażają też banki z długimi tradycjami – pierwszy był </w:t>
      </w:r>
      <w:r>
        <w:rPr>
          <w:rFonts w:ascii="calibri" w:hAnsi="calibri" w:eastAsia="calibri" w:cs="calibri"/>
          <w:sz w:val="24"/>
          <w:szCs w:val="24"/>
          <w:b/>
        </w:rPr>
        <w:t xml:space="preserve">Bank Spółdzielczy w Zatorze</w:t>
      </w:r>
      <w:r>
        <w:rPr>
          <w:rFonts w:ascii="calibri" w:hAnsi="calibri" w:eastAsia="calibri" w:cs="calibri"/>
          <w:sz w:val="24"/>
          <w:szCs w:val="24"/>
        </w:rPr>
        <w:t xml:space="preserve">. Od kwietnia 2018 z kantoru internetowego mogą korzystać też klienci </w:t>
      </w:r>
      <w:r>
        <w:rPr>
          <w:rFonts w:ascii="calibri" w:hAnsi="calibri" w:eastAsia="calibri" w:cs="calibri"/>
          <w:sz w:val="24"/>
          <w:szCs w:val="24"/>
          <w:b/>
        </w:rPr>
        <w:t xml:space="preserve">Banku Spółdzielczego w Wysokiem Mazowieckiem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dopiero początek listy podmiotów, które decydują się na współpracę z nami. Samodzielne stworzenie platformy do wymiany walut i przelewów na takim poziomie wymaga kilku lat pracy i zatrudnienia ogromnej liczby ludzi – mówi Michał Hojowski, prezes Raiffeisen Solutions Sp. z o.o. – Przy spełnieniu najwyższych kryteriów bezpieczeństwa dostarczamy jedyne na polskim rynku tak przyjazne dla klienta i łatwe do wdrożenia rozwiązanie. Wyróżnia nas też szybkość działania – zajęliśmy 1 miejsce w rankingu szybkości przelewów magazynu Forbes – mówi Michał Hojowski.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2024-05-07T18:50:50+02:00</dcterms:created>
  <dcterms:modified xsi:type="dcterms:W3CDTF">2024-05-07T18:50:50+02:00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