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Ważny raport NIK. Sprawdź co warto wiedzieć – z tych usług może będziesz korzystać!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przesyłają tam coraz więcej pieniędzy, ale ich działalność nie jest odpowiednio regulowana w polskim prawie. Mowa o kantorach internetowych, których dotyczy opublikowany ostatnio raport NIK. Na rynku wymiany walut online można jednak znaleźć podmioty, które nawet przy obecnym stanie prawnym należycie chronią środki klientów. Jak to sprawdzić?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konieczność prawnego uregulowania działalności kantorów internetowych zwracał uwagę już w 2010 roku Narodowy Bank Polski. Prace nad projektami stosownych ustaw trwają już sześć lat, jednak nadal nie wprowadzono odpowiednich regulacji, co skrytykował w swoim raporcie NIK. To nie pierwszy sygnał alarmowy wysyłany przez tę instytucję, nadal jednak stan prawny wygląda tak: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kantory stacjonarne nadzoruje NBP,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kantory internetowe ze statusem krajowej instytucji płatniczej (w Polsce jest ich 6 na ok. 70 działających na rynku firm) nadzoruje KNF,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pozostałe podmioty działają w oparciu o ustawę o swobodzie działalności gospodarczej, co oznacza, że żaden niezależny organ nie przeprowadza kontroli ich działalności, środki klientów nie są wydzielone z masy upadłościowej firmy oraz jej właściciele nie są zobowiązani do składania regularnych sprawozdań finansowych do żadnej z państwowych instytucji.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oznacza to, że klienci muszą zrezygnować m.in. z korzystniejszych niż w bankach i kantorach stacjonarnych kursów oferowanych przez kantory online na rzecz bezpieczeństwa transakcji? Na szczęście nie – w Polsce działają kantory internetowe, które nawet przy obecnym stanie prawnym zadbały o najwyższą ochronę przeprowadzanych za ich pośrednictwem operacji. Jednym z nich jest Rkantor.com, którego właścicielem jest Raiffeisen Solutions Sp. z o.o., spółka należąca do banku Raiffeisen Polbank. Jeszcze przed rozpoczęciem działalności na polskim rynku uzyskała ona </w:t>
      </w:r>
      <w:r>
        <w:rPr>
          <w:rFonts w:ascii="calibri" w:hAnsi="calibri" w:eastAsia="calibri" w:cs="calibri"/>
          <w:sz w:val="24"/>
          <w:szCs w:val="24"/>
          <w:b/>
        </w:rPr>
        <w:t xml:space="preserve">status krajowej instytucji płatniczej</w:t>
      </w:r>
      <w:r>
        <w:rPr>
          <w:rFonts w:ascii="calibri" w:hAnsi="calibri" w:eastAsia="calibri" w:cs="calibri"/>
          <w:sz w:val="24"/>
          <w:szCs w:val="24"/>
        </w:rPr>
        <w:t xml:space="preserve">, z którym wiąże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pozwolenie na włączenie do oferty usługi przelewu,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obowiązek regularnego składania sprawozdań finansowych do Komisji Nadzoru Finansowego,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wyłączenie środków klientów z masy upadłościowej przedsiębiorstwa,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wymóg, aby członkowie zarządu spółki mieli odpowiednie wykształcenie i przygotowanie zawodowe, które pozwoli na bezpieczne zarządzanie środkami klientów,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obowiązek stosowania przepisów ustawy o zapobieganiu praniu brudnych pieniędzy i finansowaniu terroryzmu z dn. 16.11.2000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wyznacza standardy na rynku wymiany walut online – status krajowej instytucji płatniczej w roku rozpoczęcia działalności przez tę spółkę (2015) uzyskały też podmioty obecne na polskim rynku od kilku lat, uważane za liderów pod względem liczby klientów i wielkości obrotu.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powinien zwrócić uwagę potencjalny klient kantoru internetowego, aby być spokojnym o bezpieczeństwo przesyłanych tam środków?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Status prawny właściciela kantoru</w:t>
      </w:r>
      <w:r>
        <w:rPr>
          <w:rFonts w:ascii="calibri" w:hAnsi="calibri" w:eastAsia="calibri" w:cs="calibri"/>
          <w:sz w:val="24"/>
          <w:szCs w:val="24"/>
        </w:rPr>
        <w:t xml:space="preserve"> – czy jest to prywatna firma, działająca jedynie w oparciu o przepisy dot. swobody działalności gospodarczej, czy też stabilna instytucja – np. bank?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Status krajowej instytucji płatniczej</w:t>
      </w:r>
      <w:r>
        <w:rPr>
          <w:rFonts w:ascii="calibri" w:hAnsi="calibri" w:eastAsia="calibri" w:cs="calibri"/>
          <w:sz w:val="24"/>
          <w:szCs w:val="24"/>
        </w:rPr>
        <w:t xml:space="preserve"> – jest on jednoznaczny z tym, że firma jest nadzorowana przez Komisję Nadzoru Finansowego.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Nadzór Generalnego Inspektora Informacji Finansowej –</w:t>
      </w:r>
      <w:r>
        <w:rPr>
          <w:rFonts w:ascii="calibri" w:hAnsi="calibri" w:eastAsia="calibri" w:cs="calibri"/>
          <w:sz w:val="24"/>
          <w:szCs w:val="24"/>
        </w:rPr>
        <w:t xml:space="preserve"> sprawdza on, czy podmiot działa zgodnie z ustawą o zapobieganiu praniu brudnych pieniędzy i finansowaniu terroryzmu z 16 listopada 2000 roku oraz czy nie wprowadza on do obrotu pieniędzy pochodzących z nielegalnych źródeł.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Rejestracja w serwisie –</w:t>
      </w:r>
      <w:r>
        <w:rPr>
          <w:rFonts w:ascii="calibri" w:hAnsi="calibri" w:eastAsia="calibri" w:cs="calibri"/>
          <w:sz w:val="24"/>
          <w:szCs w:val="24"/>
        </w:rPr>
        <w:t xml:space="preserve"> jeśli kantor wymaga podania dużej ilości danych, nie zawsze jest to powód do niepokoju! Jeśli rejestrujesz się w firmie ze statusem krajowej instytucji płatniczej wręcz powinieneś oczekiwać, że poprosi Cię ona o podanie dużej ilości informacji – oznacza to, że działa ona zgodnie z zaleceniami KNF.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Weryfikacja tożsamości klienta za pomocą przelewu aktywacyjnego lub w oddziale banku – </w:t>
      </w:r>
      <w:r>
        <w:rPr>
          <w:rFonts w:ascii="calibri" w:hAnsi="calibri" w:eastAsia="calibri" w:cs="calibri"/>
          <w:sz w:val="24"/>
          <w:szCs w:val="24"/>
        </w:rPr>
        <w:t xml:space="preserve">w Rkantor.com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dane wprowadzone podczas rejestracji klient potwierdza za pomocą przelewu aktywacyjnego ze swojego rachunku bankowego lub bezpośrednio w oddziale Raiffeisen Polbank (nie ma jednak obowiązku zakładania rachunku w żadnym banku!). Zabezpiecza to przed sytuacją, kiedy ktoś otwiera Portfel Walutowy na dane klienta bez jego wiedzy i podszywa się pod niego.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Zatwierdzanie transakcji za pomocą kodu SMS</w:t>
      </w:r>
      <w:r>
        <w:rPr>
          <w:rFonts w:ascii="calibri" w:hAnsi="calibri" w:eastAsia="calibri" w:cs="calibri"/>
          <w:sz w:val="24"/>
          <w:szCs w:val="24"/>
        </w:rPr>
        <w:t xml:space="preserve"> – kod otrzymujemy na podany podczas rejestracji numer telefonu.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 kod do kontaktu z biurem obsługi klienta </w:t>
      </w:r>
      <w:r>
        <w:rPr>
          <w:rFonts w:ascii="calibri" w:hAnsi="calibri" w:eastAsia="calibri" w:cs="calibri"/>
          <w:sz w:val="24"/>
          <w:szCs w:val="24"/>
        </w:rPr>
        <w:t xml:space="preserve">– aby uzyskać jakiekolwiek informacje na temat stanu kont lub zmienić hasło logowania do serwisu należy podać kod ustalony podczas rejestracji – to kolejne zabezpieczenie przed zlecaniem transakcji lub uzyskiwaniem informacji przez nieuprawnione osoby.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internetowe szyfrowane za pomocą protokołu TLS/SSL – </w:t>
      </w:r>
      <w:r>
        <w:rPr>
          <w:rFonts w:ascii="calibri" w:hAnsi="calibri" w:eastAsia="calibri" w:cs="calibri"/>
          <w:sz w:val="24"/>
          <w:szCs w:val="24"/>
        </w:rPr>
        <w:t xml:space="preserve">w kantorze z kapitałem bankowym stosowany jest taki sam zestaw szyfrów jak w bankach.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2026-04-26T07:51:35+02:00</dcterms:created>
  <dcterms:modified xsi:type="dcterms:W3CDTF">2026-04-26T07:51:35+02:00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