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 internetowy w modelu white label rozwiązaniem przyszłości dla banków i…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kantory internetowe na polskim rynku były pomyślane jako konkurencja dla banków. W odpowiedzi na wątpliwości dotyczące bezpieczeństwa transakcji powstał kantor z sektora bankowego, do korzystania z którego nie trzeba zakładać rachunku. To rozwiązanie w modelu white label wdrożył już kolejny bank – czy mamy do czynienia z nowym etapem rozwoju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 modelu white label oznacza, że nabywca takiego rozwiązania otrzymuje cały panel klienta z wszystkimi funkcjonalnościami dostępnymi w kantorze. Panel jest utrzymany w kolorach brandowych nabywcy, znajduje się tam też jego logo. Takie rozwiązanie oferuje Raiffeisen Solutions Sp. z o.o., (spółka-córka Raiffeisen Polbank) prowadząca Rkantor.com. To pierwszy na polskim rynku kantor internetowy z sektora bankowego, do korzystania z którego nie trzeba zakładać rachunku w żadnym banku. Został udostępniony dla klientów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kryteria musi spełniać kantor internetowy white label dla banku?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 dziedziny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 przez Raiffeisen Solutions Sp. z o.o. ma status Krajowej Instytucji Płatniczej, co oznacza, że jest nadzorowany przez Komisję Nadzoru Finansowego – organ rządowy. Dzięki temu podlega też Ustawie o usługach płatniczych, co oznacza, że zgodnie z polskim prawem można za jego pośrednictwem zlecać przelewy krajowe i zagraniczne. Bardzo ważna jest też infrastruktura informatyczna – poziom zabezpieczeń transakcji w kantorze od Raiffeisen Solutions (Rkantor.com) jest na poziomie bankowym. Jest on też łatwy w integracji z istniejącymi na rynku systemami bankowymi.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spełnione zostały kryteria bezpieczeństwa, kolejne to dostępność. Aby korzystać z kantoru internetowego Raiffeisen Solutions nie trzeba zakładać konta w żadnym banku – klient otrzymuje darmowy dostęp do 19 kont walutowych w Portfelu Walutowym. Może też swobodnie zlecać przelewy – złotówkowe są darmowe, klient nie płaci też za błyskawiczne, księgowane nawet w 10 minut przelewy walutowe do 15 polskich banków. W ofercie jest wymiana walut w kantorze (natychmiastowa i z odroczoną wpłatą) oraz na giełdzie społecznościowej, gdzie użytkownicy sami ustalają kursy wymiany. Mogą też korzystać z przelewów zagranicznych i wypłaty gotówki z bankomatu bez karty. To gotowe, nowoczesne rozwiązanie z branży fin-tech.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korzysta z kantoru internetowego w modelu white label?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była instytucja pozabankowa, jednak z dużą renomą na polskim rynku – </w:t>
      </w:r>
      <w:r>
        <w:rPr>
          <w:rFonts w:ascii="calibri" w:hAnsi="calibri" w:eastAsia="calibri" w:cs="calibri"/>
          <w:sz w:val="24"/>
          <w:szCs w:val="24"/>
          <w:b/>
        </w:rPr>
        <w:t xml:space="preserve">Poczta Polska</w:t>
      </w:r>
      <w:r>
        <w:rPr>
          <w:rFonts w:ascii="calibri" w:hAnsi="calibri" w:eastAsia="calibri" w:cs="calibri"/>
          <w:sz w:val="24"/>
          <w:szCs w:val="24"/>
        </w:rPr>
        <w:t xml:space="preserve">. Jak się okazuje, rozwiązania z dziedziny fin-tech chętnie wdrażają też banki z długimi tradycjami – pierwszy był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Zatorze</w:t>
      </w:r>
      <w:r>
        <w:rPr>
          <w:rFonts w:ascii="calibri" w:hAnsi="calibri" w:eastAsia="calibri" w:cs="calibri"/>
          <w:sz w:val="24"/>
          <w:szCs w:val="24"/>
        </w:rPr>
        <w:t xml:space="preserve">. Od kwietnia 2018 z kantoru internetowego mogą korzystać też klienci </w:t>
      </w:r>
      <w:r>
        <w:rPr>
          <w:rFonts w:ascii="calibri" w:hAnsi="calibri" w:eastAsia="calibri" w:cs="calibri"/>
          <w:sz w:val="24"/>
          <w:szCs w:val="24"/>
          <w:b/>
        </w:rPr>
        <w:t xml:space="preserve">Banku Spółdzielczego w Wysokiem Mazowieckiem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listy podmiotów, które decydują się na współpracę z nami. Samodzielne stworzenie platformy do wymiany walut i przelewów na takim poziomie wymaga kilku lat pracy i zatrudnienia ogromnej liczby ludzi – mówi Michał Hojowski, prezes Raiffeisen Solutions Sp. z o.o. – Przy spełnieniu najwyższych kryteriów bezpieczeństwa dostarczamy jedyne na polskim rynku tak przyjazne dla klienta i łatwe do wdrożenia rozwiązanie. Wyróżnia nas też szybkość działania – zajęliśmy 1 miejsce w rankingu szybkości przelewów magazynu Forbes – mówi Michał Hojowski.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2026-02-24T11:25:55+01:00</dcterms:created>
  <dcterms:modified xsi:type="dcterms:W3CDTF">2026-02-24T11:25:55+01:00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